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1FC2" w:rsidRDefault="00DE359B" w:rsidP="00D81FC2">
      <w:r>
        <w:t>&lt; your name&gt;</w:t>
      </w:r>
    </w:p>
    <w:p w:rsidR="00D81FC2" w:rsidRDefault="003D2C80">
      <w:r>
        <w:t>November 25, 2014</w:t>
      </w:r>
    </w:p>
    <w:p w:rsidR="008D04B7" w:rsidRDefault="005D7055">
      <w:r>
        <w:t>&lt;name&gt;</w:t>
      </w:r>
    </w:p>
    <w:p w:rsidR="008D04B7" w:rsidRDefault="003D2C80">
      <w:r>
        <w:t xml:space="preserve">Dear Mr. </w:t>
      </w:r>
      <w:r w:rsidR="005D7055">
        <w:t>&lt;name&gt;</w:t>
      </w:r>
      <w:r w:rsidR="008361B4">
        <w:t>,</w:t>
      </w:r>
    </w:p>
    <w:p w:rsidR="008D04B7" w:rsidRDefault="008361B4">
      <w:r>
        <w:rPr>
          <w:b/>
        </w:rPr>
        <w:t xml:space="preserve">Re: </w:t>
      </w:r>
      <w:r w:rsidR="00562200">
        <w:rPr>
          <w:b/>
        </w:rPr>
        <w:t>offer to purchase real estate property.</w:t>
      </w:r>
    </w:p>
    <w:p w:rsidR="00905F21" w:rsidRDefault="008361B4" w:rsidP="00B04B46">
      <w:r>
        <w:t xml:space="preserve">This nonbinding </w:t>
      </w:r>
      <w:r w:rsidR="00A83F9B">
        <w:t>letter of agreement outlines a framework for</w:t>
      </w:r>
      <w:r w:rsidR="00E651F6">
        <w:t xml:space="preserve"> </w:t>
      </w:r>
      <w:r w:rsidR="00562200">
        <w:t>a real estate transfer from</w:t>
      </w:r>
      <w:r w:rsidR="00652A47">
        <w:t xml:space="preserve"> </w:t>
      </w:r>
      <w:r w:rsidR="005D7055">
        <w:rPr>
          <w:u w:val="single"/>
        </w:rPr>
        <w:t>&lt;name&gt;</w:t>
      </w:r>
      <w:r w:rsidR="00652A47">
        <w:t>(</w:t>
      </w:r>
      <w:r w:rsidR="00562200">
        <w:t>Seller</w:t>
      </w:r>
      <w:r w:rsidR="00FA3CB8">
        <w:t>) to</w:t>
      </w:r>
      <w:r w:rsidR="00B65132">
        <w:t xml:space="preserve"> </w:t>
      </w:r>
      <w:r w:rsidR="00DE359B">
        <w:rPr>
          <w:u w:val="single"/>
        </w:rPr>
        <w:t>&lt;your name&gt;</w:t>
      </w:r>
      <w:r>
        <w:t xml:space="preserve"> (</w:t>
      </w:r>
      <w:r w:rsidR="00506B91">
        <w:t>Buyer</w:t>
      </w:r>
      <w:r>
        <w:t>).</w:t>
      </w:r>
      <w:bookmarkStart w:id="0" w:name="h.mfh3l0yib03k" w:colFirst="0" w:colLast="0"/>
      <w:bookmarkEnd w:id="0"/>
      <w:r w:rsidR="00562200">
        <w:t xml:space="preserve"> </w:t>
      </w:r>
      <w:r w:rsidR="00506B91">
        <w:t xml:space="preserve">The approximate address of the properties is </w:t>
      </w:r>
      <w:r w:rsidR="00DE359B">
        <w:rPr>
          <w:u w:val="single"/>
        </w:rPr>
        <w:t>&lt;address&gt;</w:t>
      </w:r>
      <w:r w:rsidR="00506B91">
        <w:t xml:space="preserve">. </w:t>
      </w:r>
      <w:r w:rsidR="00562200">
        <w:t xml:space="preserve">The list of parcel numbers to be transferred is </w:t>
      </w:r>
      <w:r w:rsidR="00DE359B">
        <w:rPr>
          <w:u w:val="single"/>
        </w:rPr>
        <w:t>&lt;parcel numbers&gt;</w:t>
      </w:r>
      <w:r w:rsidR="00562200">
        <w:t xml:space="preserve">, totaling approximately </w:t>
      </w:r>
      <w:r w:rsidR="00DE359B">
        <w:rPr>
          <w:u w:val="single"/>
        </w:rPr>
        <w:t>&lt;acreage&gt;</w:t>
      </w:r>
      <w:r w:rsidR="00562200">
        <w:t xml:space="preserve">, for a total price of </w:t>
      </w:r>
      <w:r w:rsidR="00DE359B">
        <w:rPr>
          <w:u w:val="single"/>
        </w:rPr>
        <w:t>&lt;offer price&gt;</w:t>
      </w:r>
      <w:r w:rsidR="00562200">
        <w:t>.</w:t>
      </w:r>
    </w:p>
    <w:p w:rsidR="008D04B7" w:rsidRDefault="00562200">
      <w:pPr>
        <w:pStyle w:val="Heading2"/>
      </w:pPr>
      <w:r>
        <w:t>S</w:t>
      </w:r>
      <w:r w:rsidR="008361B4">
        <w:t>ummary</w:t>
      </w:r>
    </w:p>
    <w:p w:rsidR="00905F21" w:rsidRPr="00562200" w:rsidRDefault="00562200" w:rsidP="00652A47">
      <w:r>
        <w:t xml:space="preserve">Seller agrees to sell property for a total price of </w:t>
      </w:r>
      <w:r w:rsidR="00DE359B" w:rsidRPr="00DE359B">
        <w:rPr>
          <w:u w:val="single"/>
        </w:rPr>
        <w:t>&lt;offer price&gt;</w:t>
      </w:r>
      <w:r>
        <w:t xml:space="preserve">. </w:t>
      </w:r>
      <w:r w:rsidR="00506B91">
        <w:t>Buyer</w:t>
      </w:r>
      <w:r w:rsidR="00DE359B">
        <w:t xml:space="preserve"> will deposit </w:t>
      </w:r>
      <w:r w:rsidR="00DE359B" w:rsidRPr="00DE359B">
        <w:rPr>
          <w:u w:val="single"/>
        </w:rPr>
        <w:t>$1</w:t>
      </w:r>
      <w:r w:rsidRPr="00DE359B">
        <w:rPr>
          <w:u w:val="single"/>
        </w:rPr>
        <w:t>,</w:t>
      </w:r>
      <w:r w:rsidR="003D2C80" w:rsidRPr="00DE359B">
        <w:rPr>
          <w:u w:val="single"/>
        </w:rPr>
        <w:t>000</w:t>
      </w:r>
      <w:r w:rsidR="003D2C80">
        <w:t xml:space="preserve"> into an escrow account</w:t>
      </w:r>
      <w:r>
        <w:t xml:space="preserve"> as earnest m</w:t>
      </w:r>
      <w:r w:rsidR="00905F21">
        <w:t>oney toward the purchase price.</w:t>
      </w:r>
      <w:r w:rsidR="005A19CB">
        <w:t xml:space="preserve"> If accepted, this letter will be used to develop an agreement using the Arkansas Board of Realtors standard contract.</w:t>
      </w:r>
    </w:p>
    <w:p w:rsidR="00A30775" w:rsidRPr="00A30775" w:rsidRDefault="008361B4" w:rsidP="00A30775">
      <w:pPr>
        <w:pStyle w:val="Heading2"/>
      </w:pPr>
      <w:r>
        <w:t>Details</w:t>
      </w:r>
    </w:p>
    <w:p w:rsidR="008D04B7" w:rsidRPr="00870C03" w:rsidRDefault="00562200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 xml:space="preserve">Due </w:t>
      </w:r>
      <w:r w:rsidR="000430CD">
        <w:rPr>
          <w:u w:val="single"/>
        </w:rPr>
        <w:t>D</w:t>
      </w:r>
      <w:r>
        <w:rPr>
          <w:u w:val="single"/>
        </w:rPr>
        <w:t xml:space="preserve">iligence </w:t>
      </w:r>
      <w:r w:rsidR="000430CD">
        <w:rPr>
          <w:u w:val="single"/>
        </w:rPr>
        <w:t>P</w:t>
      </w:r>
      <w:r>
        <w:rPr>
          <w:u w:val="single"/>
        </w:rPr>
        <w:t>eriod</w:t>
      </w:r>
    </w:p>
    <w:p w:rsidR="000430CD" w:rsidRDefault="00506B91" w:rsidP="000430CD">
      <w:pPr>
        <w:numPr>
          <w:ilvl w:val="1"/>
          <w:numId w:val="3"/>
        </w:numPr>
        <w:ind w:hanging="359"/>
        <w:contextualSpacing/>
      </w:pPr>
      <w:r>
        <w:t>Buyer</w:t>
      </w:r>
      <w:r w:rsidR="00562200">
        <w:t xml:space="preserve">’s deposit shall become non-refundable </w:t>
      </w:r>
      <w:r w:rsidR="00764A05" w:rsidRPr="00DE359B">
        <w:rPr>
          <w:u w:val="single"/>
        </w:rPr>
        <w:t>90</w:t>
      </w:r>
      <w:r w:rsidR="00562200" w:rsidRPr="00DE359B">
        <w:rPr>
          <w:u w:val="single"/>
        </w:rPr>
        <w:t xml:space="preserve"> days</w:t>
      </w:r>
      <w:r w:rsidR="00562200">
        <w:t xml:space="preserve"> after the date of deposit.</w:t>
      </w:r>
    </w:p>
    <w:p w:rsidR="00652A47" w:rsidRPr="00870C03" w:rsidRDefault="00652A47" w:rsidP="00652A47">
      <w:pPr>
        <w:contextualSpacing/>
      </w:pPr>
    </w:p>
    <w:p w:rsidR="008D04B7" w:rsidRPr="00870C03" w:rsidRDefault="00DE359B">
      <w:pPr>
        <w:numPr>
          <w:ilvl w:val="0"/>
          <w:numId w:val="3"/>
        </w:numPr>
        <w:ind w:hanging="359"/>
        <w:contextualSpacing/>
      </w:pPr>
      <w:r w:rsidRPr="00DE359B">
        <w:rPr>
          <w:color w:val="FF0000"/>
          <w:u w:val="single"/>
        </w:rPr>
        <w:t xml:space="preserve">&lt;consider deleting this section&gt; </w:t>
      </w:r>
      <w:r w:rsidR="00506B91">
        <w:rPr>
          <w:u w:val="single"/>
        </w:rPr>
        <w:t>Buyer</w:t>
      </w:r>
      <w:r w:rsidR="000430CD">
        <w:rPr>
          <w:u w:val="single"/>
        </w:rPr>
        <w:t>’s Work Product</w:t>
      </w:r>
    </w:p>
    <w:p w:rsidR="000430CD" w:rsidRDefault="000430CD" w:rsidP="000430CD">
      <w:pPr>
        <w:numPr>
          <w:ilvl w:val="1"/>
          <w:numId w:val="3"/>
        </w:numPr>
        <w:ind w:hanging="359"/>
        <w:contextualSpacing/>
      </w:pPr>
      <w:r>
        <w:t>As consideration for entering into the purchase agreement, if the a</w:t>
      </w:r>
      <w:r w:rsidR="000F209D">
        <w:t>greement is cancelled within 90</w:t>
      </w:r>
      <w:r>
        <w:t xml:space="preserve"> days, all of </w:t>
      </w:r>
      <w:r w:rsidR="00506B91">
        <w:t>Buyer</w:t>
      </w:r>
      <w:r>
        <w:t>’s work product pertaining to the subject property shall be turned over to Seller.</w:t>
      </w:r>
    </w:p>
    <w:p w:rsidR="00506B91" w:rsidRDefault="00506B91" w:rsidP="000430CD">
      <w:pPr>
        <w:numPr>
          <w:ilvl w:val="1"/>
          <w:numId w:val="3"/>
        </w:numPr>
        <w:ind w:hanging="359"/>
        <w:contextualSpacing/>
      </w:pPr>
      <w:r>
        <w:t>Work product prepared by the Buyer includes surveys, phase one diligence reports, title insurance reports, preliminary site plans, and a preliminary pro forma.</w:t>
      </w:r>
    </w:p>
    <w:p w:rsidR="00D46CAD" w:rsidRDefault="00D46CAD" w:rsidP="00D46CAD">
      <w:pPr>
        <w:contextualSpacing/>
      </w:pPr>
    </w:p>
    <w:p w:rsidR="008D04B7" w:rsidRPr="00870C03" w:rsidRDefault="000430CD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C</w:t>
      </w:r>
      <w:r w:rsidR="00506B91">
        <w:rPr>
          <w:u w:val="single"/>
        </w:rPr>
        <w:t>losing</w:t>
      </w:r>
      <w:r>
        <w:rPr>
          <w:u w:val="single"/>
        </w:rPr>
        <w:t xml:space="preserve"> Date</w:t>
      </w:r>
    </w:p>
    <w:p w:rsidR="00CF407F" w:rsidRDefault="000430CD" w:rsidP="007B2726">
      <w:pPr>
        <w:numPr>
          <w:ilvl w:val="1"/>
          <w:numId w:val="3"/>
        </w:numPr>
        <w:ind w:hanging="359"/>
        <w:contextualSpacing/>
      </w:pPr>
      <w:r>
        <w:t xml:space="preserve">The sale shall close within </w:t>
      </w:r>
      <w:r w:rsidR="000F209D" w:rsidRPr="00DE359B">
        <w:rPr>
          <w:u w:val="single"/>
        </w:rPr>
        <w:t>45</w:t>
      </w:r>
      <w:r w:rsidRPr="00DE359B">
        <w:rPr>
          <w:u w:val="single"/>
        </w:rPr>
        <w:t xml:space="preserve"> days</w:t>
      </w:r>
      <w:r>
        <w:t xml:space="preserve"> of the date </w:t>
      </w:r>
      <w:r w:rsidR="00506B91">
        <w:t>Buyer</w:t>
      </w:r>
      <w:r w:rsidR="000F209D">
        <w:t>’s deposit becoming</w:t>
      </w:r>
      <w:r>
        <w:t xml:space="preserve"> non-refundable unless the closing date is extended at </w:t>
      </w:r>
      <w:r w:rsidR="00506B91">
        <w:t>Buyer</w:t>
      </w:r>
      <w:r>
        <w:t>’s option.</w:t>
      </w:r>
    </w:p>
    <w:p w:rsidR="00D46CAD" w:rsidRPr="00870C03" w:rsidRDefault="00D46CAD" w:rsidP="00D46CAD">
      <w:pPr>
        <w:contextualSpacing/>
      </w:pPr>
    </w:p>
    <w:p w:rsidR="008D04B7" w:rsidRPr="00870C03" w:rsidRDefault="000430CD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Extensions</w:t>
      </w:r>
    </w:p>
    <w:p w:rsidR="000430CD" w:rsidRDefault="000430CD" w:rsidP="000430CD">
      <w:pPr>
        <w:numPr>
          <w:ilvl w:val="1"/>
          <w:numId w:val="3"/>
        </w:numPr>
        <w:ind w:hanging="359"/>
        <w:contextualSpacing/>
      </w:pPr>
      <w:r>
        <w:t>The clo</w:t>
      </w:r>
      <w:r w:rsidR="00764A05">
        <w:t xml:space="preserve">sing date may be extended for </w:t>
      </w:r>
      <w:r w:rsidR="00764A05" w:rsidRPr="00DE359B">
        <w:rPr>
          <w:u w:val="single"/>
        </w:rPr>
        <w:t>45</w:t>
      </w:r>
      <w:r w:rsidRPr="00DE359B">
        <w:rPr>
          <w:u w:val="single"/>
        </w:rPr>
        <w:t xml:space="preserve"> days</w:t>
      </w:r>
      <w:r>
        <w:t xml:space="preserve"> b</w:t>
      </w:r>
      <w:r w:rsidR="00DE359B">
        <w:t xml:space="preserve">y a non-refundable deposit of </w:t>
      </w:r>
      <w:r w:rsidR="00DE359B" w:rsidRPr="00DE359B">
        <w:rPr>
          <w:u w:val="single"/>
        </w:rPr>
        <w:t>$1</w:t>
      </w:r>
      <w:r w:rsidRPr="00DE359B">
        <w:rPr>
          <w:u w:val="single"/>
        </w:rPr>
        <w:t>,000</w:t>
      </w:r>
      <w:r>
        <w:t xml:space="preserve"> to be applied to the purchase price.</w:t>
      </w:r>
    </w:p>
    <w:p w:rsidR="001B4D2A" w:rsidRDefault="000430CD" w:rsidP="00B04B46">
      <w:pPr>
        <w:numPr>
          <w:ilvl w:val="1"/>
          <w:numId w:val="3"/>
        </w:numPr>
        <w:ind w:hanging="359"/>
        <w:contextualSpacing/>
      </w:pPr>
      <w:r>
        <w:t>The closing date may be further ext</w:t>
      </w:r>
      <w:r w:rsidR="00764A05">
        <w:t xml:space="preserve">ended by </w:t>
      </w:r>
      <w:r w:rsidR="00764A05" w:rsidRPr="00DE359B">
        <w:rPr>
          <w:u w:val="single"/>
        </w:rPr>
        <w:t>45</w:t>
      </w:r>
      <w:r w:rsidRPr="00DE359B">
        <w:rPr>
          <w:u w:val="single"/>
        </w:rPr>
        <w:t xml:space="preserve"> days</w:t>
      </w:r>
      <w:r>
        <w:t xml:space="preserve"> by a non-refundable deposit of </w:t>
      </w:r>
      <w:r w:rsidRPr="00DE359B">
        <w:rPr>
          <w:u w:val="single"/>
        </w:rPr>
        <w:t>$</w:t>
      </w:r>
      <w:r w:rsidR="00DE359B" w:rsidRPr="00DE359B">
        <w:rPr>
          <w:u w:val="single"/>
        </w:rPr>
        <w:t>1</w:t>
      </w:r>
      <w:r w:rsidRPr="00DE359B">
        <w:rPr>
          <w:u w:val="single"/>
        </w:rPr>
        <w:t>,000</w:t>
      </w:r>
      <w:r>
        <w:t xml:space="preserve"> </w:t>
      </w:r>
      <w:r>
        <w:rPr>
          <w:i/>
        </w:rPr>
        <w:t>in addition to</w:t>
      </w:r>
      <w:r>
        <w:t xml:space="preserve"> the purchase price.</w:t>
      </w:r>
    </w:p>
    <w:p w:rsidR="000430CD" w:rsidRPr="000430CD" w:rsidRDefault="000430CD" w:rsidP="000430CD">
      <w:pPr>
        <w:ind w:left="720"/>
        <w:contextualSpacing/>
      </w:pPr>
    </w:p>
    <w:p w:rsidR="000430CD" w:rsidRPr="00870C03" w:rsidRDefault="000430CD" w:rsidP="000430CD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Conditions of Purchase</w:t>
      </w:r>
    </w:p>
    <w:p w:rsidR="000430CD" w:rsidRDefault="000430CD" w:rsidP="000430CD">
      <w:pPr>
        <w:numPr>
          <w:ilvl w:val="1"/>
          <w:numId w:val="3"/>
        </w:numPr>
        <w:ind w:hanging="359"/>
        <w:contextualSpacing/>
      </w:pPr>
      <w:r>
        <w:t>The property shall have a clean title.</w:t>
      </w:r>
    </w:p>
    <w:p w:rsidR="000430CD" w:rsidRDefault="000430CD" w:rsidP="000430CD">
      <w:pPr>
        <w:numPr>
          <w:ilvl w:val="1"/>
          <w:numId w:val="3"/>
        </w:numPr>
        <w:ind w:hanging="359"/>
        <w:contextualSpacing/>
      </w:pPr>
      <w:r>
        <w:t>Due diligence, as described in the attached due diligence checklist, shall be satisfactory.</w:t>
      </w:r>
    </w:p>
    <w:p w:rsidR="000430CD" w:rsidRDefault="000430CD" w:rsidP="000430CD">
      <w:pPr>
        <w:numPr>
          <w:ilvl w:val="1"/>
          <w:numId w:val="3"/>
        </w:numPr>
        <w:ind w:hanging="359"/>
        <w:contextualSpacing/>
      </w:pPr>
      <w:r>
        <w:lastRenderedPageBreak/>
        <w:t>The property shall have all necessary entitlements</w:t>
      </w:r>
      <w:r w:rsidR="00764A05">
        <w:t>, including but not limited to right-of-way vacations</w:t>
      </w:r>
      <w:r>
        <w:t>. Seller agrees to cooperate with Buyer to attain necessary entitlements.</w:t>
      </w:r>
    </w:p>
    <w:p w:rsidR="00567463" w:rsidRDefault="00567463" w:rsidP="000430CD">
      <w:pPr>
        <w:numPr>
          <w:ilvl w:val="1"/>
          <w:numId w:val="3"/>
        </w:numPr>
        <w:ind w:hanging="359"/>
        <w:contextualSpacing/>
      </w:pPr>
      <w:r>
        <w:t>Buyer is able to secure financing for the project.</w:t>
      </w:r>
    </w:p>
    <w:p w:rsidR="000430CD" w:rsidRPr="000430CD" w:rsidRDefault="000430CD" w:rsidP="00AA13C1">
      <w:pPr>
        <w:contextualSpacing/>
      </w:pPr>
    </w:p>
    <w:p w:rsidR="000430CD" w:rsidRPr="00870C03" w:rsidRDefault="000430CD" w:rsidP="000430CD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Transferability</w:t>
      </w:r>
    </w:p>
    <w:p w:rsidR="000430CD" w:rsidRDefault="000430CD" w:rsidP="00905F21">
      <w:pPr>
        <w:numPr>
          <w:ilvl w:val="1"/>
          <w:numId w:val="3"/>
        </w:numPr>
        <w:ind w:hanging="359"/>
        <w:contextualSpacing/>
      </w:pPr>
      <w:r>
        <w:t xml:space="preserve">This agreement may be transferred to an entity in which </w:t>
      </w:r>
      <w:r w:rsidR="00506B91">
        <w:t>Buyer</w:t>
      </w:r>
      <w:r>
        <w:t xml:space="preserve"> is a Principal.</w:t>
      </w:r>
    </w:p>
    <w:p w:rsidR="00764A05" w:rsidRPr="00764A05" w:rsidRDefault="00764A05" w:rsidP="00764A05">
      <w:pPr>
        <w:ind w:left="720"/>
        <w:contextualSpacing/>
      </w:pPr>
    </w:p>
    <w:p w:rsidR="00764A05" w:rsidRPr="00870C03" w:rsidRDefault="00764A05" w:rsidP="00764A05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Division of Fees</w:t>
      </w:r>
    </w:p>
    <w:p w:rsidR="00764A05" w:rsidRDefault="00764A05" w:rsidP="00764A05">
      <w:pPr>
        <w:numPr>
          <w:ilvl w:val="1"/>
          <w:numId w:val="3"/>
        </w:numPr>
        <w:ind w:hanging="359"/>
        <w:contextualSpacing/>
      </w:pPr>
      <w:r>
        <w:t>Buyer and Seller agree to pay equal shares of Title, Recording, and other Closing Fees.</w:t>
      </w:r>
    </w:p>
    <w:p w:rsidR="00764A05" w:rsidRDefault="00764A05" w:rsidP="00764A05">
      <w:pPr>
        <w:numPr>
          <w:ilvl w:val="1"/>
          <w:numId w:val="3"/>
        </w:numPr>
        <w:ind w:hanging="359"/>
        <w:contextualSpacing/>
      </w:pPr>
      <w:r>
        <w:t>Any brokerage commissions shall be paid in full by Buyer.</w:t>
      </w:r>
    </w:p>
    <w:p w:rsidR="00764A05" w:rsidRDefault="00764A05" w:rsidP="00764A05">
      <w:pPr>
        <w:contextualSpacing/>
      </w:pPr>
    </w:p>
    <w:p w:rsidR="00764A05" w:rsidRDefault="00764A05" w:rsidP="00764A05">
      <w:pPr>
        <w:contextualSpacing/>
      </w:pPr>
    </w:p>
    <w:p w:rsidR="008D04B7" w:rsidRDefault="008361B4">
      <w:pPr>
        <w:pStyle w:val="Heading2"/>
      </w:pPr>
      <w:r>
        <w:t>Attachments</w:t>
      </w:r>
    </w:p>
    <w:p w:rsidR="00A01CC8" w:rsidRDefault="000430CD" w:rsidP="00A01CC8">
      <w:pPr>
        <w:pStyle w:val="ListParagraph"/>
        <w:numPr>
          <w:ilvl w:val="0"/>
          <w:numId w:val="8"/>
        </w:numPr>
      </w:pPr>
      <w:r>
        <w:t>Due diligence checklist.</w:t>
      </w:r>
    </w:p>
    <w:p w:rsidR="000430CD" w:rsidRDefault="000430CD" w:rsidP="00A01CC8">
      <w:pPr>
        <w:pStyle w:val="ListParagraph"/>
        <w:numPr>
          <w:ilvl w:val="0"/>
          <w:numId w:val="8"/>
        </w:numPr>
      </w:pPr>
      <w:r>
        <w:t>Due diligence timeline.</w:t>
      </w:r>
    </w:p>
    <w:p w:rsidR="00D81FC2" w:rsidRDefault="00D81FC2" w:rsidP="00D81FC2">
      <w:pPr>
        <w:contextualSpacing/>
      </w:pPr>
    </w:p>
    <w:p w:rsidR="00A30775" w:rsidRDefault="00A30775">
      <w:pPr>
        <w:pBdr>
          <w:top w:val="single" w:sz="4" w:space="1" w:color="auto"/>
        </w:pBdr>
      </w:pPr>
    </w:p>
    <w:p w:rsidR="008D04B7" w:rsidRDefault="008361B4">
      <w:r>
        <w:t xml:space="preserve">This letter is being executed by </w:t>
      </w:r>
      <w:r w:rsidR="00506B91">
        <w:t>Buyer</w:t>
      </w:r>
      <w:r>
        <w:t xml:space="preserve"> and </w:t>
      </w:r>
      <w:r w:rsidR="000430CD">
        <w:t>Seller</w:t>
      </w:r>
      <w:r>
        <w:t xml:space="preserve">. Parties understand this nonbinding letter will be used to develop </w:t>
      </w:r>
      <w:r w:rsidR="0082745D">
        <w:t>a purchase agreement using the Arkansas Board of Realtors standard contract</w:t>
      </w:r>
      <w:r>
        <w:t>.</w:t>
      </w: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04B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C2" w:rsidRDefault="00D81FC2">
            <w:pPr>
              <w:spacing w:line="240" w:lineRule="auto"/>
            </w:pPr>
          </w:p>
          <w:p w:rsidR="00977C2A" w:rsidRDefault="00977C2A">
            <w:pPr>
              <w:spacing w:line="240" w:lineRule="auto"/>
            </w:pPr>
          </w:p>
          <w:p w:rsidR="002964FD" w:rsidRDefault="002964FD">
            <w:pPr>
              <w:spacing w:line="240" w:lineRule="auto"/>
            </w:pPr>
          </w:p>
          <w:p w:rsidR="008D04B7" w:rsidRDefault="008361B4">
            <w:pPr>
              <w:spacing w:line="240" w:lineRule="auto"/>
            </w:pPr>
            <w:r>
              <w:t>_________________________</w:t>
            </w:r>
            <w:r w:rsidR="004B53D2" w:rsidRPr="004B53D2">
              <w:rPr>
                <w:u w:val="single"/>
              </w:rPr>
              <w:t>Date</w:t>
            </w:r>
            <w:r>
              <w:t>_</w:t>
            </w:r>
            <w:r w:rsidR="00A80D6A">
              <w:rPr>
                <w:u w:val="single"/>
              </w:rPr>
              <w:t xml:space="preserve">                      </w:t>
            </w:r>
            <w:r w:rsidR="004B53D2">
              <w:t>_</w:t>
            </w:r>
          </w:p>
          <w:p w:rsidR="008D04B7" w:rsidRDefault="00D36EA9" w:rsidP="003D2C80">
            <w:pPr>
              <w:spacing w:line="240" w:lineRule="auto"/>
            </w:pPr>
            <w:r>
              <w:t>&lt;your name&gt;</w:t>
            </w:r>
            <w:bookmarkStart w:id="1" w:name="_GoBack"/>
            <w:bookmarkEnd w:id="1"/>
            <w:r w:rsidR="008361B4">
              <w:br/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775" w:rsidRDefault="00A30775">
            <w:pPr>
              <w:spacing w:line="240" w:lineRule="auto"/>
            </w:pPr>
          </w:p>
          <w:p w:rsidR="00977C2A" w:rsidRDefault="00977C2A">
            <w:pPr>
              <w:spacing w:line="240" w:lineRule="auto"/>
            </w:pPr>
          </w:p>
          <w:p w:rsidR="002964FD" w:rsidRDefault="002964FD">
            <w:pPr>
              <w:spacing w:line="240" w:lineRule="auto"/>
            </w:pPr>
          </w:p>
          <w:p w:rsidR="004B53D2" w:rsidRDefault="004B53D2" w:rsidP="004B53D2">
            <w:pPr>
              <w:spacing w:line="240" w:lineRule="auto"/>
            </w:pPr>
            <w:r>
              <w:t>_________________________</w:t>
            </w:r>
            <w:r w:rsidRPr="004B53D2">
              <w:rPr>
                <w:u w:val="single"/>
              </w:rPr>
              <w:t>Date</w:t>
            </w:r>
            <w:r>
              <w:t>____________</w:t>
            </w:r>
          </w:p>
          <w:p w:rsidR="008D04B7" w:rsidRDefault="005D7055" w:rsidP="00D46CAD">
            <w:pPr>
              <w:spacing w:line="240" w:lineRule="auto"/>
            </w:pPr>
            <w:r>
              <w:t>&lt;name&gt;</w:t>
            </w:r>
          </w:p>
        </w:tc>
      </w:tr>
    </w:tbl>
    <w:p w:rsidR="008D04B7" w:rsidRDefault="008D04B7"/>
    <w:sectPr w:rsidR="008D04B7" w:rsidSect="00D81FC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B3" w:rsidRDefault="00C774B3" w:rsidP="008361B4">
      <w:pPr>
        <w:spacing w:after="0" w:line="240" w:lineRule="auto"/>
      </w:pPr>
      <w:r>
        <w:separator/>
      </w:r>
    </w:p>
  </w:endnote>
  <w:endnote w:type="continuationSeparator" w:id="0">
    <w:p w:rsidR="00C774B3" w:rsidRDefault="00C774B3" w:rsidP="0083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06599"/>
      <w:docPartObj>
        <w:docPartGallery w:val="Page Numbers (Bottom of Page)"/>
        <w:docPartUnique/>
      </w:docPartObj>
    </w:sdtPr>
    <w:sdtEndPr/>
    <w:sdtContent>
      <w:p w:rsidR="00B12799" w:rsidRDefault="00B127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799" w:rsidRDefault="00B127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36EA9" w:rsidRPr="00D36EA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 xml:space="preserve"> of </w: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begin"/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instrText xml:space="preserve"> NUMPAGES  \* Arabic  \* MERGEFORMAT </w:instrTex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separate"/>
                                </w:r>
                                <w:r w:rsidR="00D36EA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26" style="position:absolute;margin-left:0;margin-top:0;width:610.5pt;height:15pt;z-index:25166694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qgn2DwEAAAM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12799" w:rsidRDefault="00B127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36EA9" w:rsidRPr="00D36EA9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 xml:space="preserve"> of </w: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begin"/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instrText xml:space="preserve"> NUMPAGES  \* Arabic  \* MERGEFORMAT </w:instrTex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separate"/>
                          </w:r>
                          <w:r w:rsidR="00D36EA9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829083"/>
      <w:docPartObj>
        <w:docPartGallery w:val="Page Numbers (Bottom of Page)"/>
        <w:docPartUnique/>
      </w:docPartObj>
    </w:sdtPr>
    <w:sdtEndPr/>
    <w:sdtContent>
      <w:p w:rsidR="00B12799" w:rsidRDefault="00B127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799" w:rsidRDefault="00B127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E359B" w:rsidRPr="00DE359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 xml:space="preserve"> of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31" style="position:absolute;margin-left:0;margin-top:0;width:610.5pt;height:15pt;z-index:25166489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ZPdrnj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12799" w:rsidRDefault="00B127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E359B" w:rsidRPr="00DE359B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 xml:space="preserve"> of 2</w:t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B3" w:rsidRDefault="00C774B3" w:rsidP="008361B4">
      <w:pPr>
        <w:spacing w:after="0" w:line="240" w:lineRule="auto"/>
      </w:pPr>
      <w:r>
        <w:separator/>
      </w:r>
    </w:p>
  </w:footnote>
  <w:footnote w:type="continuationSeparator" w:id="0">
    <w:p w:rsidR="00C774B3" w:rsidRDefault="00C774B3" w:rsidP="0083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C2" w:rsidRDefault="00562200" w:rsidP="00D81FC2">
    <w:pPr>
      <w:pStyle w:val="Heading1"/>
    </w:pPr>
    <w:r>
      <w:t>Offer to purchase real estate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81FC2" w:rsidTr="0064783E">
      <w:tc>
        <w:tcPr>
          <w:tcW w:w="4675" w:type="dxa"/>
        </w:tcPr>
        <w:p w:rsidR="00D81FC2" w:rsidRPr="00695604" w:rsidRDefault="00D81FC2" w:rsidP="00D81FC2"/>
      </w:tc>
      <w:tc>
        <w:tcPr>
          <w:tcW w:w="4675" w:type="dxa"/>
        </w:tcPr>
        <w:p w:rsidR="00D81FC2" w:rsidRDefault="00D81FC2" w:rsidP="00D81FC2"/>
      </w:tc>
    </w:tr>
  </w:tbl>
  <w:p w:rsidR="00D81FC2" w:rsidRDefault="00D81FC2" w:rsidP="00D81F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2FA"/>
    <w:multiLevelType w:val="hybridMultilevel"/>
    <w:tmpl w:val="6946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78"/>
    <w:multiLevelType w:val="multilevel"/>
    <w:tmpl w:val="9A5AD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9A581E"/>
    <w:multiLevelType w:val="multilevel"/>
    <w:tmpl w:val="984AF0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4DC6A23"/>
    <w:multiLevelType w:val="multilevel"/>
    <w:tmpl w:val="0A387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9AA1DAF"/>
    <w:multiLevelType w:val="hybridMultilevel"/>
    <w:tmpl w:val="14A0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3589D"/>
    <w:multiLevelType w:val="multilevel"/>
    <w:tmpl w:val="894EFEB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6EB31872"/>
    <w:multiLevelType w:val="multilevel"/>
    <w:tmpl w:val="EC9E0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6031A16"/>
    <w:multiLevelType w:val="multilevel"/>
    <w:tmpl w:val="E116AA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04B7"/>
    <w:rsid w:val="000430CD"/>
    <w:rsid w:val="000E1111"/>
    <w:rsid w:val="000F209D"/>
    <w:rsid w:val="001716EE"/>
    <w:rsid w:val="001907DA"/>
    <w:rsid w:val="001B4D2A"/>
    <w:rsid w:val="001F3592"/>
    <w:rsid w:val="00220CBB"/>
    <w:rsid w:val="002964FD"/>
    <w:rsid w:val="002A6FBE"/>
    <w:rsid w:val="002B763A"/>
    <w:rsid w:val="002D4C8A"/>
    <w:rsid w:val="002D74CC"/>
    <w:rsid w:val="00372883"/>
    <w:rsid w:val="003A06D6"/>
    <w:rsid w:val="003B63D6"/>
    <w:rsid w:val="003D2C80"/>
    <w:rsid w:val="00476A42"/>
    <w:rsid w:val="004B53D2"/>
    <w:rsid w:val="00506B91"/>
    <w:rsid w:val="0056181C"/>
    <w:rsid w:val="00562200"/>
    <w:rsid w:val="00567463"/>
    <w:rsid w:val="005A19CB"/>
    <w:rsid w:val="005D7055"/>
    <w:rsid w:val="00631ACE"/>
    <w:rsid w:val="00634825"/>
    <w:rsid w:val="0064527E"/>
    <w:rsid w:val="00652A47"/>
    <w:rsid w:val="006C591A"/>
    <w:rsid w:val="006E29A1"/>
    <w:rsid w:val="0071458F"/>
    <w:rsid w:val="00764A05"/>
    <w:rsid w:val="007859C5"/>
    <w:rsid w:val="007E2CD0"/>
    <w:rsid w:val="00807BDF"/>
    <w:rsid w:val="0082745D"/>
    <w:rsid w:val="008361B4"/>
    <w:rsid w:val="00844A69"/>
    <w:rsid w:val="00870C03"/>
    <w:rsid w:val="008A1C0B"/>
    <w:rsid w:val="008D04B7"/>
    <w:rsid w:val="00905F21"/>
    <w:rsid w:val="00934316"/>
    <w:rsid w:val="00977C2A"/>
    <w:rsid w:val="009F4FC5"/>
    <w:rsid w:val="00A01CC8"/>
    <w:rsid w:val="00A30775"/>
    <w:rsid w:val="00A3738F"/>
    <w:rsid w:val="00A376CA"/>
    <w:rsid w:val="00A471B9"/>
    <w:rsid w:val="00A80D6A"/>
    <w:rsid w:val="00A83F9B"/>
    <w:rsid w:val="00AA13C1"/>
    <w:rsid w:val="00B04B46"/>
    <w:rsid w:val="00B12799"/>
    <w:rsid w:val="00B474D5"/>
    <w:rsid w:val="00B605CB"/>
    <w:rsid w:val="00B65132"/>
    <w:rsid w:val="00B734CC"/>
    <w:rsid w:val="00B77175"/>
    <w:rsid w:val="00BD5E18"/>
    <w:rsid w:val="00BD67C8"/>
    <w:rsid w:val="00BF65E0"/>
    <w:rsid w:val="00C774B3"/>
    <w:rsid w:val="00C80ABC"/>
    <w:rsid w:val="00CD3949"/>
    <w:rsid w:val="00CE132B"/>
    <w:rsid w:val="00CF407F"/>
    <w:rsid w:val="00D23AE9"/>
    <w:rsid w:val="00D36EA9"/>
    <w:rsid w:val="00D46CAD"/>
    <w:rsid w:val="00D76D83"/>
    <w:rsid w:val="00D81FC2"/>
    <w:rsid w:val="00DE359B"/>
    <w:rsid w:val="00E2464D"/>
    <w:rsid w:val="00E3604C"/>
    <w:rsid w:val="00E651F6"/>
    <w:rsid w:val="00EE6208"/>
    <w:rsid w:val="00EF3D1C"/>
    <w:rsid w:val="00FA3CB8"/>
    <w:rsid w:val="00FA7D13"/>
    <w:rsid w:val="00FD295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E4AB2-27FC-4C26-9BC8-70D9439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B4"/>
  </w:style>
  <w:style w:type="paragraph" w:styleId="Heading1">
    <w:name w:val="heading 1"/>
    <w:basedOn w:val="Normal"/>
    <w:next w:val="Normal"/>
    <w:link w:val="Heading1Char"/>
    <w:uiPriority w:val="9"/>
    <w:qFormat/>
    <w:rsid w:val="008361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B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B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1B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1B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B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B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B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1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B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B4"/>
  </w:style>
  <w:style w:type="paragraph" w:styleId="Footer">
    <w:name w:val="footer"/>
    <w:basedOn w:val="Normal"/>
    <w:link w:val="Foot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B4"/>
  </w:style>
  <w:style w:type="table" w:styleId="TableGrid">
    <w:name w:val="Table Grid"/>
    <w:basedOn w:val="TableNormal"/>
    <w:uiPriority w:val="39"/>
    <w:rsid w:val="00836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1B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61B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61B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1B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361B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361B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B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1B4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8361B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61B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361B4"/>
    <w:rPr>
      <w:b/>
      <w:bCs/>
    </w:rPr>
  </w:style>
  <w:style w:type="character" w:styleId="Emphasis">
    <w:name w:val="Emphasis"/>
    <w:basedOn w:val="DefaultParagraphFont"/>
    <w:uiPriority w:val="20"/>
    <w:qFormat/>
    <w:rsid w:val="008361B4"/>
    <w:rPr>
      <w:i/>
      <w:iCs/>
    </w:rPr>
  </w:style>
  <w:style w:type="paragraph" w:styleId="NoSpacing">
    <w:name w:val="No Spacing"/>
    <w:uiPriority w:val="1"/>
    <w:qFormat/>
    <w:rsid w:val="008361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61B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361B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B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B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61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61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61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61B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361B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1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Summary and Letter of Agreement.docx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Summary and Letter of Agreement.docx</dc:title>
  <cp:lastModifiedBy>mpetty</cp:lastModifiedBy>
  <cp:revision>67</cp:revision>
  <cp:lastPrinted>2014-12-19T22:41:00Z</cp:lastPrinted>
  <dcterms:created xsi:type="dcterms:W3CDTF">2014-09-24T17:18:00Z</dcterms:created>
  <dcterms:modified xsi:type="dcterms:W3CDTF">2015-05-19T17:06:00Z</dcterms:modified>
</cp:coreProperties>
</file>